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10" w:rsidRPr="008C44A0" w:rsidRDefault="008C44A0" w:rsidP="00EC0D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44A0">
        <w:rPr>
          <w:rFonts w:ascii="標楷體" w:eastAsia="標楷體" w:hAnsi="標楷體"/>
          <w:b/>
          <w:sz w:val="32"/>
          <w:szCs w:val="32"/>
        </w:rPr>
        <w:t>元智大學工程學院院務會議</w:t>
      </w:r>
      <w:r w:rsidRPr="008C44A0">
        <w:rPr>
          <w:rFonts w:ascii="標楷體" w:eastAsia="標楷體" w:hAnsi="標楷體" w:hint="eastAsia"/>
          <w:b/>
          <w:sz w:val="32"/>
          <w:szCs w:val="32"/>
        </w:rPr>
        <w:t>設置</w:t>
      </w:r>
      <w:r w:rsidRPr="008C44A0">
        <w:rPr>
          <w:rFonts w:ascii="標楷體" w:eastAsia="標楷體" w:hAnsi="標楷體"/>
          <w:b/>
          <w:sz w:val="32"/>
          <w:szCs w:val="32"/>
        </w:rPr>
        <w:t>辦法</w:t>
      </w:r>
    </w:p>
    <w:p w:rsidR="00CC14DB" w:rsidRPr="002614CA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 w:rsidRPr="002614CA">
        <w:rPr>
          <w:rFonts w:ascii="Times New Roman" w:eastAsia="標楷體" w:hAnsi="Times New Roman" w:cs="Times New Roman"/>
          <w:color w:val="auto"/>
          <w:sz w:val="20"/>
        </w:rPr>
        <w:t>84.08.24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八十四學年度第一次行政會議通過</w:t>
      </w:r>
    </w:p>
    <w:p w:rsidR="00CC14DB" w:rsidRPr="002614CA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 w:rsidRPr="002614CA">
        <w:rPr>
          <w:rFonts w:ascii="Times New Roman" w:eastAsia="標楷體" w:hAnsi="Times New Roman" w:cs="Times New Roman"/>
          <w:color w:val="auto"/>
          <w:sz w:val="20"/>
        </w:rPr>
        <w:t>90.06.13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八十九學年第六次院務會議修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</w:p>
    <w:p w:rsidR="00CC14DB" w:rsidRPr="002614CA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 w:rsidRPr="002614CA">
        <w:rPr>
          <w:rFonts w:ascii="Times New Roman" w:eastAsia="標楷體" w:hAnsi="Times New Roman" w:cs="Times New Roman"/>
          <w:color w:val="auto"/>
          <w:sz w:val="20"/>
        </w:rPr>
        <w:t xml:space="preserve">90.08.13 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九十學年度第一次行政會議修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通過</w:t>
      </w:r>
    </w:p>
    <w:p w:rsidR="00CC14DB" w:rsidRPr="002614CA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 w:rsidRPr="002614CA">
        <w:rPr>
          <w:rFonts w:ascii="Times New Roman" w:eastAsia="標楷體" w:hAnsi="Times New Roman" w:cs="Times New Roman"/>
          <w:color w:val="auto"/>
          <w:sz w:val="20"/>
        </w:rPr>
        <w:t>95.10.25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九十五學年第二次院務會議修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</w:p>
    <w:p w:rsidR="00CC14DB" w:rsidRDefault="00CC14DB" w:rsidP="00CC14DB">
      <w:pPr>
        <w:wordWrap w:val="0"/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 w:rsidRPr="002614CA">
        <w:rPr>
          <w:rFonts w:ascii="Times New Roman" w:eastAsia="標楷體" w:hAnsi="Times New Roman" w:cs="Times New Roman"/>
          <w:color w:val="auto"/>
          <w:sz w:val="20"/>
        </w:rPr>
        <w:t xml:space="preserve">96.01.22 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九十五學年度第十次行政會議修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通過</w:t>
      </w:r>
    </w:p>
    <w:p w:rsidR="00CC14DB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>
        <w:rPr>
          <w:rFonts w:ascii="Times New Roman" w:eastAsia="標楷體" w:hAnsi="Times New Roman" w:cs="Times New Roman" w:hint="eastAsia"/>
          <w:color w:val="auto"/>
          <w:sz w:val="20"/>
        </w:rPr>
        <w:t>106.06.07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一</w:t>
      </w:r>
      <w:r>
        <w:rPr>
          <w:rFonts w:ascii="Times New Roman" w:eastAsia="標楷體" w:hAnsi="Times New Roman" w:cs="Times New Roman" w:hint="eastAsia"/>
          <w:color w:val="auto"/>
          <w:sz w:val="20"/>
        </w:rPr>
        <w:t>o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五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auto"/>
          <w:sz w:val="20"/>
        </w:rPr>
        <w:t>六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次</w:t>
      </w:r>
      <w:r>
        <w:rPr>
          <w:rFonts w:ascii="Times New Roman" w:eastAsia="標楷體" w:hAnsi="Times New Roman" w:cs="Times New Roman" w:hint="eastAsia"/>
          <w:color w:val="auto"/>
          <w:sz w:val="20"/>
        </w:rPr>
        <w:t>院務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</w:p>
    <w:p w:rsidR="00CC14DB" w:rsidRDefault="00CC14DB" w:rsidP="00CC14DB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>
        <w:rPr>
          <w:rFonts w:ascii="Times New Roman" w:eastAsia="標楷體" w:hAnsi="Times New Roman" w:cs="Times New Roman" w:hint="eastAsia"/>
          <w:color w:val="auto"/>
          <w:sz w:val="20"/>
        </w:rPr>
        <w:t>106.06.28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一</w:t>
      </w:r>
      <w:r>
        <w:rPr>
          <w:rFonts w:ascii="Times New Roman" w:eastAsia="標楷體" w:hAnsi="Times New Roman" w:cs="Times New Roman" w:hint="eastAsia"/>
          <w:color w:val="auto"/>
          <w:sz w:val="20"/>
        </w:rPr>
        <w:t>o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五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二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十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二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次行政會議修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通過</w:t>
      </w:r>
    </w:p>
    <w:p w:rsidR="008B77A7" w:rsidRDefault="008B77A7" w:rsidP="008B77A7">
      <w:pPr>
        <w:snapToGrid w:val="0"/>
        <w:jc w:val="right"/>
        <w:rPr>
          <w:rFonts w:ascii="Times New Roman" w:eastAsia="標楷體" w:hAnsi="Times New Roman" w:cs="Times New Roman"/>
          <w:color w:val="auto"/>
          <w:sz w:val="20"/>
        </w:rPr>
      </w:pPr>
      <w:r>
        <w:rPr>
          <w:rFonts w:ascii="Times New Roman" w:eastAsia="標楷體" w:hAnsi="Times New Roman" w:cs="Times New Roman" w:hint="eastAsia"/>
          <w:color w:val="auto"/>
          <w:sz w:val="20"/>
        </w:rPr>
        <w:t>10</w:t>
      </w:r>
      <w:r>
        <w:rPr>
          <w:rFonts w:ascii="Times New Roman" w:eastAsia="標楷體" w:hAnsi="Times New Roman" w:cs="Times New Roman" w:hint="eastAsia"/>
          <w:color w:val="auto"/>
          <w:sz w:val="20"/>
        </w:rPr>
        <w:t>9</w:t>
      </w:r>
      <w:r>
        <w:rPr>
          <w:rFonts w:ascii="Times New Roman" w:eastAsia="標楷體" w:hAnsi="Times New Roman" w:cs="Times New Roman" w:hint="eastAsia"/>
          <w:color w:val="auto"/>
          <w:sz w:val="20"/>
        </w:rPr>
        <w:t>.06.</w:t>
      </w:r>
      <w:r>
        <w:rPr>
          <w:rFonts w:ascii="Times New Roman" w:eastAsia="標楷體" w:hAnsi="Times New Roman" w:cs="Times New Roman" w:hint="eastAsia"/>
          <w:color w:val="auto"/>
          <w:sz w:val="20"/>
        </w:rPr>
        <w:t>10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一</w:t>
      </w:r>
      <w:r>
        <w:rPr>
          <w:rFonts w:ascii="Times New Roman" w:eastAsia="標楷體" w:hAnsi="Times New Roman" w:cs="Times New Roman" w:hint="eastAsia"/>
          <w:color w:val="auto"/>
          <w:sz w:val="20"/>
        </w:rPr>
        <w:t>o</w:t>
      </w:r>
      <w:r>
        <w:rPr>
          <w:rFonts w:ascii="Times New Roman" w:eastAsia="標楷體" w:hAnsi="Times New Roman" w:cs="Times New Roman" w:hint="eastAsia"/>
          <w:color w:val="auto"/>
          <w:sz w:val="20"/>
        </w:rPr>
        <w:t>八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二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十</w:t>
      </w:r>
      <w:r>
        <w:rPr>
          <w:rFonts w:ascii="Times New Roman" w:eastAsia="標楷體" w:hAnsi="Times New Roman" w:cs="Times New Roman" w:hint="eastAsia"/>
          <w:color w:val="auto"/>
          <w:sz w:val="20"/>
        </w:rPr>
        <w:t>三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次行政會議修</w:t>
      </w:r>
      <w:r>
        <w:rPr>
          <w:rFonts w:ascii="Times New Roman" w:eastAsia="標楷體" w:hAnsi="Times New Roman" w:cs="Times New Roman" w:hint="eastAsia"/>
          <w:color w:val="auto"/>
          <w:sz w:val="20"/>
        </w:rPr>
        <w:t>正</w:t>
      </w:r>
      <w:r w:rsidRPr="002614CA">
        <w:rPr>
          <w:rFonts w:ascii="Times New Roman" w:eastAsia="標楷體" w:hAnsi="Times New Roman" w:cs="Times New Roman"/>
          <w:color w:val="auto"/>
          <w:sz w:val="20"/>
        </w:rPr>
        <w:t>通過</w:t>
      </w:r>
    </w:p>
    <w:p w:rsidR="008C44A0" w:rsidRPr="008B77A7" w:rsidRDefault="008C44A0" w:rsidP="005C56FD">
      <w:pPr>
        <w:snapToGrid w:val="0"/>
        <w:ind w:right="240"/>
        <w:jc w:val="right"/>
        <w:rPr>
          <w:rFonts w:ascii="Times New Roman" w:eastAsia="標楷體" w:hAnsi="Times New Roman" w:cs="Times New Roman"/>
          <w:color w:val="auto"/>
          <w:sz w:val="20"/>
        </w:rPr>
      </w:pPr>
    </w:p>
    <w:p w:rsidR="00376E7F" w:rsidRPr="005C56FD" w:rsidRDefault="00376E7F" w:rsidP="005C56FD">
      <w:pPr>
        <w:snapToGrid w:val="0"/>
        <w:ind w:right="240"/>
        <w:jc w:val="right"/>
        <w:rPr>
          <w:rFonts w:eastAsia="文鼎細圓"/>
          <w:color w:val="0000FF"/>
        </w:rPr>
      </w:pPr>
    </w:p>
    <w:p w:rsidR="008C44A0" w:rsidRPr="008C44A0" w:rsidRDefault="008C44A0" w:rsidP="008C44A0">
      <w:pPr>
        <w:ind w:left="1134" w:hanging="1134"/>
        <w:rPr>
          <w:rFonts w:ascii="標楷體" w:eastAsia="標楷體" w:hAnsi="標楷體"/>
        </w:rPr>
      </w:pPr>
      <w:r w:rsidRPr="008C44A0">
        <w:rPr>
          <w:rFonts w:ascii="標楷體" w:eastAsia="標楷體" w:hAnsi="標楷體"/>
        </w:rPr>
        <w:t>第一條</w:t>
      </w:r>
      <w:r w:rsidRPr="008C44A0">
        <w:rPr>
          <w:rFonts w:ascii="標楷體" w:eastAsia="標楷體" w:hAnsi="標楷體" w:hint="eastAsia"/>
        </w:rPr>
        <w:t xml:space="preserve">  </w:t>
      </w:r>
      <w:r w:rsidRPr="008C44A0">
        <w:rPr>
          <w:rFonts w:ascii="標楷體" w:eastAsia="標楷體" w:hAnsi="標楷體"/>
        </w:rPr>
        <w:t>本院依</w:t>
      </w:r>
      <w:r w:rsidRPr="008C44A0">
        <w:rPr>
          <w:rFonts w:ascii="標楷體" w:eastAsia="標楷體" w:hAnsi="標楷體" w:hint="eastAsia"/>
        </w:rPr>
        <w:t>本校組織規程第十條，</w:t>
      </w:r>
      <w:r w:rsidRPr="008C44A0">
        <w:rPr>
          <w:rFonts w:ascii="標楷體" w:eastAsia="標楷體" w:hAnsi="標楷體"/>
        </w:rPr>
        <w:t>設院務會議（以下簡稱本會議）。</w:t>
      </w:r>
    </w:p>
    <w:p w:rsidR="008C44A0" w:rsidRPr="008C44A0" w:rsidRDefault="008C44A0" w:rsidP="008C44A0">
      <w:pPr>
        <w:rPr>
          <w:rFonts w:ascii="標楷體" w:eastAsia="標楷體" w:hAnsi="標楷體"/>
        </w:rPr>
      </w:pPr>
      <w:r w:rsidRPr="008C44A0">
        <w:rPr>
          <w:rFonts w:ascii="標楷體" w:eastAsia="標楷體" w:hAnsi="標楷體"/>
        </w:rPr>
        <w:t>第二條</w:t>
      </w:r>
      <w:r w:rsidRPr="008C44A0">
        <w:rPr>
          <w:rFonts w:ascii="標楷體" w:eastAsia="標楷體" w:hAnsi="標楷體" w:hint="eastAsia"/>
        </w:rPr>
        <w:t xml:space="preserve">  </w:t>
      </w:r>
      <w:r w:rsidRPr="008C44A0">
        <w:rPr>
          <w:rFonts w:ascii="標楷體" w:eastAsia="標楷體" w:hAnsi="標楷體"/>
        </w:rPr>
        <w:t>本會議討論事項如下：</w:t>
      </w:r>
    </w:p>
    <w:p w:rsidR="008C44A0" w:rsidRPr="008C44A0" w:rsidRDefault="008C44A0" w:rsidP="008C44A0">
      <w:pPr>
        <w:widowControl w:val="0"/>
        <w:numPr>
          <w:ilvl w:val="0"/>
          <w:numId w:val="6"/>
        </w:numPr>
        <w:adjustRightInd w:val="0"/>
        <w:textAlignment w:val="baseline"/>
        <w:rPr>
          <w:rFonts w:ascii="標楷體" w:eastAsia="標楷體" w:hAnsi="標楷體"/>
        </w:rPr>
      </w:pPr>
      <w:r w:rsidRPr="008C44A0">
        <w:rPr>
          <w:rFonts w:ascii="標楷體" w:eastAsia="標楷體" w:hAnsi="標楷體"/>
        </w:rPr>
        <w:t>本校行政會議（報）決議案之執行事宜。</w:t>
      </w:r>
    </w:p>
    <w:p w:rsidR="008C44A0" w:rsidRPr="00CC14DB" w:rsidRDefault="008C44A0" w:rsidP="008C44A0">
      <w:pPr>
        <w:widowControl w:val="0"/>
        <w:numPr>
          <w:ilvl w:val="0"/>
          <w:numId w:val="6"/>
        </w:numPr>
        <w:adjustRightInd w:val="0"/>
        <w:ind w:left="1707" w:hanging="573"/>
        <w:textAlignment w:val="baseline"/>
        <w:rPr>
          <w:rFonts w:ascii="標楷體" w:eastAsia="標楷體" w:hAnsi="標楷體"/>
        </w:rPr>
      </w:pPr>
      <w:r w:rsidRPr="00CC14DB">
        <w:rPr>
          <w:rFonts w:ascii="標楷體" w:eastAsia="標楷體" w:hAnsi="標楷體"/>
        </w:rPr>
        <w:t>本院</w:t>
      </w:r>
      <w:r w:rsidR="00376E7F" w:rsidRPr="00CC14DB">
        <w:rPr>
          <w:rFonts w:ascii="Times New Roman" w:eastAsia="標楷體" w:hAnsi="Times New Roman" w:cs="Times New Roman"/>
        </w:rPr>
        <w:t>各系（所</w:t>
      </w:r>
      <w:r w:rsidR="00376E7F" w:rsidRPr="00CC14DB">
        <w:rPr>
          <w:rFonts w:ascii="Times New Roman" w:eastAsia="標楷體" w:hAnsi="Times New Roman" w:cs="Times New Roman" w:hint="eastAsia"/>
        </w:rPr>
        <w:t>或同級）</w:t>
      </w:r>
      <w:r w:rsidRPr="00CC14DB">
        <w:rPr>
          <w:rFonts w:ascii="標楷體" w:eastAsia="標楷體" w:hAnsi="標楷體"/>
        </w:rPr>
        <w:t>工作計畫、年度計畫／預算及一般章則之審議。</w:t>
      </w:r>
    </w:p>
    <w:p w:rsidR="008C44A0" w:rsidRPr="00CC14DB" w:rsidRDefault="00376E7F" w:rsidP="008C44A0">
      <w:pPr>
        <w:widowControl w:val="0"/>
        <w:numPr>
          <w:ilvl w:val="0"/>
          <w:numId w:val="6"/>
        </w:numPr>
        <w:adjustRightInd w:val="0"/>
        <w:ind w:left="1707" w:hanging="573"/>
        <w:textAlignment w:val="baseline"/>
        <w:rPr>
          <w:rFonts w:ascii="標楷體" w:eastAsia="標楷體" w:hAnsi="標楷體"/>
        </w:rPr>
      </w:pPr>
      <w:r w:rsidRPr="00CC14DB">
        <w:rPr>
          <w:rFonts w:eastAsia="標楷體"/>
        </w:rPr>
        <w:t>跨系</w:t>
      </w:r>
      <w:r w:rsidRPr="00CC14DB">
        <w:rPr>
          <w:rFonts w:ascii="Times New Roman" w:eastAsia="標楷體" w:hAnsi="Times New Roman" w:cs="Times New Roman"/>
        </w:rPr>
        <w:t>（所</w:t>
      </w:r>
      <w:r w:rsidRPr="00CC14DB">
        <w:rPr>
          <w:rFonts w:ascii="Times New Roman" w:eastAsia="標楷體" w:hAnsi="Times New Roman" w:cs="Times New Roman" w:hint="eastAsia"/>
        </w:rPr>
        <w:t>或同級）</w:t>
      </w:r>
      <w:r w:rsidR="008C44A0" w:rsidRPr="00CC14DB">
        <w:rPr>
          <w:rFonts w:ascii="標楷體" w:eastAsia="標楷體" w:hAnsi="標楷體"/>
        </w:rPr>
        <w:t>事務之協調及議決。</w:t>
      </w:r>
    </w:p>
    <w:p w:rsidR="008C44A0" w:rsidRPr="00CC14DB" w:rsidRDefault="008C44A0" w:rsidP="008C44A0">
      <w:pPr>
        <w:widowControl w:val="0"/>
        <w:numPr>
          <w:ilvl w:val="0"/>
          <w:numId w:val="6"/>
        </w:numPr>
        <w:adjustRightInd w:val="0"/>
        <w:ind w:left="1707" w:hanging="573"/>
        <w:textAlignment w:val="baseline"/>
        <w:rPr>
          <w:rFonts w:ascii="標楷體" w:eastAsia="標楷體" w:hAnsi="標楷體"/>
        </w:rPr>
      </w:pPr>
      <w:r w:rsidRPr="00CC14DB">
        <w:rPr>
          <w:rFonts w:ascii="標楷體" w:eastAsia="標楷體" w:hAnsi="標楷體"/>
        </w:rPr>
        <w:t>學校行政之改進事宜。</w:t>
      </w:r>
    </w:p>
    <w:p w:rsidR="008C44A0" w:rsidRPr="00CC14DB" w:rsidRDefault="008C44A0" w:rsidP="008C44A0">
      <w:pPr>
        <w:widowControl w:val="0"/>
        <w:numPr>
          <w:ilvl w:val="0"/>
          <w:numId w:val="6"/>
        </w:numPr>
        <w:adjustRightInd w:val="0"/>
        <w:ind w:left="1707" w:hanging="573"/>
        <w:textAlignment w:val="baseline"/>
        <w:rPr>
          <w:rFonts w:ascii="標楷體" w:eastAsia="標楷體" w:hAnsi="標楷體"/>
        </w:rPr>
      </w:pPr>
      <w:r w:rsidRPr="00CC14DB">
        <w:rPr>
          <w:rFonts w:ascii="標楷體" w:eastAsia="標楷體" w:hAnsi="標楷體"/>
        </w:rPr>
        <w:t>校長、院長交議事項。</w:t>
      </w:r>
    </w:p>
    <w:p w:rsidR="008C44A0" w:rsidRPr="00CC14DB" w:rsidRDefault="008C44A0" w:rsidP="008C44A0">
      <w:pPr>
        <w:widowControl w:val="0"/>
        <w:numPr>
          <w:ilvl w:val="0"/>
          <w:numId w:val="6"/>
        </w:numPr>
        <w:adjustRightInd w:val="0"/>
        <w:ind w:left="1707" w:hanging="573"/>
        <w:textAlignment w:val="baseline"/>
        <w:rPr>
          <w:rFonts w:ascii="標楷體" w:eastAsia="標楷體" w:hAnsi="標楷體"/>
        </w:rPr>
      </w:pPr>
      <w:r w:rsidRPr="00CC14DB">
        <w:rPr>
          <w:rFonts w:ascii="標楷體" w:eastAsia="標楷體" w:hAnsi="標楷體"/>
        </w:rPr>
        <w:t>其他與本院相關之行政、研發</w:t>
      </w:r>
      <w:r w:rsidRPr="00CC14DB">
        <w:rPr>
          <w:rFonts w:ascii="標楷體" w:eastAsia="標楷體" w:hAnsi="標楷體" w:hint="eastAsia"/>
        </w:rPr>
        <w:t>、教學</w:t>
      </w:r>
      <w:r w:rsidRPr="00CC14DB">
        <w:rPr>
          <w:rFonts w:ascii="標楷體" w:eastAsia="標楷體" w:hAnsi="標楷體"/>
        </w:rPr>
        <w:t>及建教合作事項。</w:t>
      </w:r>
    </w:p>
    <w:p w:rsidR="008C44A0" w:rsidRPr="008C44A0" w:rsidRDefault="008C44A0" w:rsidP="0010087E">
      <w:pPr>
        <w:ind w:left="994" w:hanging="980"/>
        <w:rPr>
          <w:rFonts w:ascii="標楷體" w:eastAsia="標楷體" w:hAnsi="標楷體"/>
        </w:rPr>
      </w:pPr>
      <w:r w:rsidRPr="00CC14DB">
        <w:rPr>
          <w:rFonts w:ascii="標楷體" w:eastAsia="標楷體" w:hAnsi="標楷體"/>
        </w:rPr>
        <w:t>第三條</w:t>
      </w:r>
      <w:r w:rsidRPr="00CC14DB">
        <w:rPr>
          <w:rFonts w:ascii="標楷體" w:eastAsia="標楷體" w:hAnsi="標楷體" w:hint="eastAsia"/>
        </w:rPr>
        <w:t xml:space="preserve">  </w:t>
      </w:r>
      <w:r w:rsidRPr="00CC14DB">
        <w:rPr>
          <w:rFonts w:ascii="標楷體" w:eastAsia="標楷體" w:hAnsi="標楷體"/>
        </w:rPr>
        <w:t>本會設置教師代表九至十五人，院、</w:t>
      </w:r>
      <w:r w:rsidR="00376E7F" w:rsidRPr="00CC14DB">
        <w:rPr>
          <w:rFonts w:ascii="Times New Roman" w:eastAsia="標楷體" w:hAnsi="Times New Roman" w:cs="Times New Roman"/>
        </w:rPr>
        <w:t>系（所</w:t>
      </w:r>
      <w:r w:rsidR="00376E7F" w:rsidRPr="00CC14DB">
        <w:rPr>
          <w:rFonts w:ascii="Times New Roman" w:eastAsia="標楷體" w:hAnsi="Times New Roman" w:cs="Times New Roman" w:hint="eastAsia"/>
        </w:rPr>
        <w:t>或同級）</w:t>
      </w:r>
      <w:r w:rsidRPr="00CC14DB">
        <w:rPr>
          <w:rFonts w:ascii="標楷體" w:eastAsia="標楷體" w:hAnsi="標楷體"/>
        </w:rPr>
        <w:t>主管為當然代表，</w:t>
      </w:r>
      <w:r w:rsidR="00376E7F" w:rsidRPr="00CC14DB">
        <w:rPr>
          <w:rFonts w:ascii="Times New Roman" w:eastAsia="標楷體" w:hAnsi="Times New Roman" w:cs="Times New Roman"/>
        </w:rPr>
        <w:t>各系（所</w:t>
      </w:r>
      <w:r w:rsidR="00376E7F" w:rsidRPr="00CC14DB">
        <w:rPr>
          <w:rFonts w:ascii="Times New Roman" w:eastAsia="標楷體" w:hAnsi="Times New Roman" w:cs="Times New Roman" w:hint="eastAsia"/>
        </w:rPr>
        <w:t>或同級）</w:t>
      </w:r>
      <w:r w:rsidR="00376E7F" w:rsidRPr="00CC14DB">
        <w:rPr>
          <w:rFonts w:ascii="Times New Roman" w:eastAsia="標楷體" w:hAnsi="Times New Roman" w:cs="Times New Roman"/>
        </w:rPr>
        <w:t>推</w:t>
      </w:r>
      <w:r w:rsidRPr="00CC14DB">
        <w:rPr>
          <w:rFonts w:ascii="標楷體" w:eastAsia="標楷體" w:hAnsi="標楷體" w:hint="eastAsia"/>
        </w:rPr>
        <w:t>派教師代表一人，</w:t>
      </w:r>
      <w:r w:rsidR="00376E7F" w:rsidRPr="00CC14DB">
        <w:rPr>
          <w:rFonts w:ascii="Times New Roman" w:eastAsia="標楷體" w:hAnsi="Times New Roman" w:cs="Times New Roman"/>
        </w:rPr>
        <w:t>各系（所</w:t>
      </w:r>
      <w:r w:rsidR="00376E7F" w:rsidRPr="00CC14DB">
        <w:rPr>
          <w:rFonts w:ascii="Times New Roman" w:eastAsia="標楷體" w:hAnsi="Times New Roman" w:cs="Times New Roman" w:hint="eastAsia"/>
        </w:rPr>
        <w:t>或同級）</w:t>
      </w:r>
      <w:r w:rsidRPr="00CC14DB">
        <w:rPr>
          <w:rFonts w:ascii="標楷體" w:eastAsia="標楷體" w:hAnsi="標楷體"/>
        </w:rPr>
        <w:t>教師</w:t>
      </w:r>
      <w:r w:rsidRPr="00CC14DB">
        <w:rPr>
          <w:rFonts w:ascii="標楷體" w:eastAsia="標楷體" w:hAnsi="標楷體" w:hint="eastAsia"/>
        </w:rPr>
        <w:t>超</w:t>
      </w:r>
      <w:r w:rsidRPr="008C44A0">
        <w:rPr>
          <w:rFonts w:ascii="標楷體" w:eastAsia="標楷體" w:hAnsi="標楷體" w:hint="eastAsia"/>
        </w:rPr>
        <w:t>過十</w:t>
      </w:r>
      <w:r w:rsidRPr="008C44A0">
        <w:rPr>
          <w:rFonts w:ascii="標楷體" w:eastAsia="標楷體" w:hAnsi="標楷體"/>
        </w:rPr>
        <w:t>人以上者</w:t>
      </w:r>
      <w:r w:rsidRPr="008C44A0">
        <w:rPr>
          <w:rFonts w:ascii="標楷體" w:eastAsia="標楷體" w:hAnsi="標楷體" w:hint="eastAsia"/>
        </w:rPr>
        <w:t>得</w:t>
      </w:r>
      <w:r w:rsidRPr="008C44A0">
        <w:rPr>
          <w:rFonts w:ascii="標楷體" w:eastAsia="標楷體" w:hAnsi="標楷體"/>
        </w:rPr>
        <w:t>另推</w:t>
      </w:r>
      <w:r w:rsidRPr="008C44A0">
        <w:rPr>
          <w:rFonts w:ascii="標楷體" w:eastAsia="標楷體" w:hAnsi="標楷體" w:hint="eastAsia"/>
        </w:rPr>
        <w:t>派</w:t>
      </w:r>
      <w:r w:rsidRPr="008C44A0">
        <w:rPr>
          <w:rFonts w:ascii="標楷體" w:eastAsia="標楷體" w:hAnsi="標楷體"/>
        </w:rPr>
        <w:t>代表一</w:t>
      </w:r>
      <w:r w:rsidRPr="008C44A0">
        <w:rPr>
          <w:rFonts w:ascii="標楷體" w:eastAsia="標楷體" w:hAnsi="標楷體" w:hint="eastAsia"/>
        </w:rPr>
        <w:t>人，院長為主席</w:t>
      </w:r>
      <w:r w:rsidRPr="008C44A0">
        <w:rPr>
          <w:rFonts w:ascii="標楷體" w:eastAsia="標楷體" w:hAnsi="標楷體"/>
        </w:rPr>
        <w:t>。代表任期一學年，連選得連任。</w:t>
      </w:r>
    </w:p>
    <w:p w:rsidR="008C44A0" w:rsidRPr="008C44A0" w:rsidRDefault="008C44A0" w:rsidP="008C44A0">
      <w:pPr>
        <w:ind w:left="1134" w:hanging="1134"/>
        <w:rPr>
          <w:rFonts w:ascii="標楷體" w:eastAsia="標楷體" w:hAnsi="標楷體"/>
        </w:rPr>
      </w:pPr>
      <w:r w:rsidRPr="008C44A0">
        <w:rPr>
          <w:rFonts w:ascii="標楷體" w:eastAsia="標楷體" w:hAnsi="標楷體"/>
        </w:rPr>
        <w:t>第四條</w:t>
      </w:r>
      <w:r w:rsidRPr="008C44A0">
        <w:rPr>
          <w:rFonts w:ascii="標楷體" w:eastAsia="標楷體" w:hAnsi="標楷體" w:hint="eastAsia"/>
        </w:rPr>
        <w:t xml:space="preserve">  </w:t>
      </w:r>
      <w:r w:rsidRPr="008C44A0">
        <w:rPr>
          <w:rFonts w:ascii="標楷體" w:eastAsia="標楷體" w:hAnsi="標楷體"/>
        </w:rPr>
        <w:t>本會議每學期</w:t>
      </w:r>
      <w:r w:rsidRPr="008C44A0">
        <w:rPr>
          <w:rFonts w:ascii="標楷體" w:eastAsia="標楷體" w:hAnsi="標楷體" w:hint="eastAsia"/>
        </w:rPr>
        <w:t>至少召開二次會議。</w:t>
      </w:r>
    </w:p>
    <w:p w:rsidR="008C44A0" w:rsidRPr="008C44A0" w:rsidRDefault="008C44A0" w:rsidP="008C44A0">
      <w:pPr>
        <w:ind w:left="1134" w:hanging="1134"/>
        <w:rPr>
          <w:rFonts w:ascii="標楷體" w:eastAsia="標楷體" w:hAnsi="標楷體"/>
        </w:rPr>
      </w:pPr>
      <w:r w:rsidRPr="008C44A0">
        <w:rPr>
          <w:rFonts w:ascii="標楷體" w:eastAsia="標楷體" w:hAnsi="標楷體"/>
        </w:rPr>
        <w:t>第五條</w:t>
      </w:r>
      <w:r w:rsidRPr="008C44A0">
        <w:rPr>
          <w:rFonts w:ascii="標楷體" w:eastAsia="標楷體" w:hAnsi="標楷體" w:hint="eastAsia"/>
        </w:rPr>
        <w:t xml:space="preserve">  </w:t>
      </w:r>
      <w:r w:rsidRPr="008C44A0">
        <w:rPr>
          <w:rFonts w:ascii="標楷體" w:eastAsia="標楷體" w:hAnsi="標楷體"/>
        </w:rPr>
        <w:t>本會議開會時得通知有關人員列席。</w:t>
      </w:r>
    </w:p>
    <w:p w:rsidR="008C44A0" w:rsidRPr="008C44A0" w:rsidRDefault="008C44A0" w:rsidP="008C44A0">
      <w:pPr>
        <w:pStyle w:val="a8"/>
        <w:spacing w:after="0"/>
        <w:ind w:left="1134" w:hanging="1134"/>
        <w:rPr>
          <w:rFonts w:ascii="標楷體" w:eastAsia="標楷體" w:hAnsi="標楷體"/>
          <w:szCs w:val="24"/>
        </w:rPr>
      </w:pPr>
      <w:r w:rsidRPr="008C44A0">
        <w:rPr>
          <w:rFonts w:ascii="標楷體" w:eastAsia="標楷體" w:hAnsi="標楷體"/>
          <w:szCs w:val="24"/>
        </w:rPr>
        <w:t>第六條</w:t>
      </w:r>
      <w:r w:rsidRPr="008C44A0">
        <w:rPr>
          <w:rFonts w:ascii="標楷體" w:eastAsia="標楷體" w:hAnsi="標楷體" w:hint="eastAsia"/>
          <w:szCs w:val="24"/>
        </w:rPr>
        <w:t xml:space="preserve">  </w:t>
      </w:r>
      <w:r w:rsidRPr="008C44A0">
        <w:rPr>
          <w:rFonts w:ascii="標楷體" w:eastAsia="標楷體" w:hAnsi="標楷體"/>
          <w:szCs w:val="24"/>
        </w:rPr>
        <w:t>本辦法經行政會議通過後實施，修正時亦同。</w:t>
      </w:r>
      <w:bookmarkStart w:id="0" w:name="_GoBack"/>
      <w:bookmarkEnd w:id="0"/>
    </w:p>
    <w:p w:rsidR="008C44A0" w:rsidRPr="00193C47" w:rsidRDefault="008C44A0" w:rsidP="008C44A0">
      <w:pPr>
        <w:rPr>
          <w:rFonts w:ascii="標楷體" w:eastAsia="標楷體" w:hAnsi="標楷體"/>
          <w:sz w:val="28"/>
          <w:szCs w:val="28"/>
        </w:rPr>
      </w:pPr>
    </w:p>
    <w:p w:rsidR="008C44A0" w:rsidRPr="00193C47" w:rsidRDefault="008C44A0" w:rsidP="008C44A0">
      <w:pPr>
        <w:rPr>
          <w:rFonts w:ascii="標楷體" w:eastAsia="標楷體" w:hAnsi="標楷體"/>
          <w:sz w:val="28"/>
          <w:szCs w:val="28"/>
        </w:rPr>
      </w:pPr>
    </w:p>
    <w:p w:rsidR="008C44A0" w:rsidRPr="00193C47" w:rsidRDefault="008C44A0" w:rsidP="008C44A0">
      <w:pPr>
        <w:rPr>
          <w:rFonts w:ascii="標楷體" w:eastAsia="標楷體" w:hAnsi="標楷體"/>
          <w:sz w:val="28"/>
          <w:szCs w:val="28"/>
        </w:rPr>
      </w:pPr>
    </w:p>
    <w:p w:rsidR="008C44A0" w:rsidRPr="008C44A0" w:rsidRDefault="008C44A0"/>
    <w:sectPr w:rsidR="008C44A0" w:rsidRPr="008C44A0" w:rsidSect="007E0771">
      <w:pgSz w:w="11906" w:h="16838"/>
      <w:pgMar w:top="1135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22" w:rsidRDefault="001F3C22" w:rsidP="00F603B5">
      <w:r>
        <w:separator/>
      </w:r>
    </w:p>
  </w:endnote>
  <w:endnote w:type="continuationSeparator" w:id="0">
    <w:p w:rsidR="001F3C22" w:rsidRDefault="001F3C22" w:rsidP="00F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細圓">
    <w:altName w:val="細明體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22" w:rsidRDefault="001F3C22" w:rsidP="00F603B5">
      <w:r>
        <w:separator/>
      </w:r>
    </w:p>
  </w:footnote>
  <w:footnote w:type="continuationSeparator" w:id="0">
    <w:p w:rsidR="001F3C22" w:rsidRDefault="001F3C22" w:rsidP="00F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CD"/>
    <w:multiLevelType w:val="hybridMultilevel"/>
    <w:tmpl w:val="6BAE7BF6"/>
    <w:lvl w:ilvl="0" w:tplc="B8F8ACF8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C287C"/>
    <w:multiLevelType w:val="hybridMultilevel"/>
    <w:tmpl w:val="57549D98"/>
    <w:lvl w:ilvl="0" w:tplc="BDCEF8A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AB6C86"/>
    <w:multiLevelType w:val="singleLevel"/>
    <w:tmpl w:val="1E749846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abstractNum w:abstractNumId="3" w15:restartNumberingAfterBreak="0">
    <w:nsid w:val="42BD0656"/>
    <w:multiLevelType w:val="hybridMultilevel"/>
    <w:tmpl w:val="3014D47C"/>
    <w:lvl w:ilvl="0" w:tplc="2FAAE672">
      <w:start w:val="1"/>
      <w:numFmt w:val="taiwaneseCountingThousand"/>
      <w:lvlText w:val="（%1）"/>
      <w:lvlJc w:val="left"/>
      <w:pPr>
        <w:ind w:left="1997" w:hanging="720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458B1EA4"/>
    <w:multiLevelType w:val="hybridMultilevel"/>
    <w:tmpl w:val="12D4CBCC"/>
    <w:lvl w:ilvl="0" w:tplc="B9E4EF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B81CE2"/>
    <w:multiLevelType w:val="singleLevel"/>
    <w:tmpl w:val="833AEAE4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6"/>
    <w:rsid w:val="00004F9D"/>
    <w:rsid w:val="00014FB9"/>
    <w:rsid w:val="000C22D9"/>
    <w:rsid w:val="000D1B06"/>
    <w:rsid w:val="0010087E"/>
    <w:rsid w:val="00170640"/>
    <w:rsid w:val="00175B98"/>
    <w:rsid w:val="001E18CA"/>
    <w:rsid w:val="001F3C22"/>
    <w:rsid w:val="00240E12"/>
    <w:rsid w:val="00252DCC"/>
    <w:rsid w:val="002612F6"/>
    <w:rsid w:val="002614CA"/>
    <w:rsid w:val="002E7EF4"/>
    <w:rsid w:val="00376E7F"/>
    <w:rsid w:val="003809C9"/>
    <w:rsid w:val="00391A25"/>
    <w:rsid w:val="003E16E1"/>
    <w:rsid w:val="00462236"/>
    <w:rsid w:val="00466FFC"/>
    <w:rsid w:val="004D2F72"/>
    <w:rsid w:val="004D6717"/>
    <w:rsid w:val="004E4EC5"/>
    <w:rsid w:val="005248AA"/>
    <w:rsid w:val="00594C95"/>
    <w:rsid w:val="005A4FF7"/>
    <w:rsid w:val="005C56FD"/>
    <w:rsid w:val="00675D35"/>
    <w:rsid w:val="006B7102"/>
    <w:rsid w:val="006C325B"/>
    <w:rsid w:val="007363B6"/>
    <w:rsid w:val="007D62EB"/>
    <w:rsid w:val="007E0771"/>
    <w:rsid w:val="0081328B"/>
    <w:rsid w:val="008B77A7"/>
    <w:rsid w:val="008C44A0"/>
    <w:rsid w:val="008F612C"/>
    <w:rsid w:val="009D2299"/>
    <w:rsid w:val="00A2061B"/>
    <w:rsid w:val="00A471EA"/>
    <w:rsid w:val="00B0092B"/>
    <w:rsid w:val="00B72899"/>
    <w:rsid w:val="00BA3F35"/>
    <w:rsid w:val="00C04524"/>
    <w:rsid w:val="00C2014B"/>
    <w:rsid w:val="00C756E9"/>
    <w:rsid w:val="00CC14DB"/>
    <w:rsid w:val="00CF0932"/>
    <w:rsid w:val="00E350C1"/>
    <w:rsid w:val="00E57EC8"/>
    <w:rsid w:val="00E6337E"/>
    <w:rsid w:val="00E91AC0"/>
    <w:rsid w:val="00EA7406"/>
    <w:rsid w:val="00EC0D10"/>
    <w:rsid w:val="00F12C82"/>
    <w:rsid w:val="00F603B5"/>
    <w:rsid w:val="00F670A4"/>
    <w:rsid w:val="00F70AC3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ED70"/>
  <w15:docId w15:val="{09702E0B-184D-40A4-B36E-324496FE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B6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63B6"/>
    <w:pPr>
      <w:spacing w:before="100" w:beforeAutospacing="1" w:after="100" w:afterAutospacing="1"/>
    </w:pPr>
    <w:rPr>
      <w:color w:val="auto"/>
      <w:lang w:eastAsia="zh-CN"/>
    </w:rPr>
  </w:style>
  <w:style w:type="paragraph" w:styleId="a3">
    <w:name w:val="List Paragraph"/>
    <w:basedOn w:val="a"/>
    <w:uiPriority w:val="34"/>
    <w:qFormat/>
    <w:rsid w:val="007363B6"/>
    <w:pPr>
      <w:ind w:leftChars="200" w:left="480"/>
    </w:pPr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8">
    <w:name w:val="Body Text Indent"/>
    <w:basedOn w:val="a"/>
    <w:link w:val="a9"/>
    <w:rsid w:val="00F603B5"/>
    <w:pPr>
      <w:widowControl w:val="0"/>
      <w:snapToGrid w:val="0"/>
      <w:spacing w:after="120"/>
      <w:ind w:left="964" w:hanging="964"/>
    </w:pPr>
    <w:rPr>
      <w:rFonts w:ascii="Times New Roman" w:hAnsi="Times New Roman" w:cs="Times New Roman"/>
      <w:color w:val="auto"/>
      <w:kern w:val="2"/>
      <w:szCs w:val="20"/>
    </w:rPr>
  </w:style>
  <w:style w:type="character" w:customStyle="1" w:styleId="a9">
    <w:name w:val="本文縮排 字元"/>
    <w:basedOn w:val="a0"/>
    <w:link w:val="a8"/>
    <w:rsid w:val="00F603B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2061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hohls2</dc:creator>
  <cp:lastModifiedBy>user</cp:lastModifiedBy>
  <cp:revision>3</cp:revision>
  <cp:lastPrinted>2013-12-13T01:39:00Z</cp:lastPrinted>
  <dcterms:created xsi:type="dcterms:W3CDTF">2020-06-10T03:49:00Z</dcterms:created>
  <dcterms:modified xsi:type="dcterms:W3CDTF">2020-06-10T03:50:00Z</dcterms:modified>
</cp:coreProperties>
</file>